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0692" w14:textId="1CC6CE2F" w:rsidR="004A73BF" w:rsidRPr="006621AA" w:rsidRDefault="00424159" w:rsidP="00B70876">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741A9359" w:rsidR="004A73BF" w:rsidRPr="006621AA" w:rsidRDefault="004A73BF" w:rsidP="00B70876">
      <w:pPr>
        <w:tabs>
          <w:tab w:val="left" w:pos="10260"/>
        </w:tabs>
      </w:pPr>
    </w:p>
    <w:p w14:paraId="67D2A4DD" w14:textId="632A2903" w:rsidR="004A73BF" w:rsidRPr="006621AA" w:rsidRDefault="004A73BF" w:rsidP="00B70876">
      <w:pPr>
        <w:tabs>
          <w:tab w:val="left" w:pos="10260"/>
        </w:tabs>
      </w:pPr>
    </w:p>
    <w:p w14:paraId="170BA1EE" w14:textId="7B6996B0" w:rsidR="004A73BF" w:rsidRPr="006621AA" w:rsidRDefault="004A73BF" w:rsidP="00B70876">
      <w:pPr>
        <w:tabs>
          <w:tab w:val="left" w:pos="10260"/>
        </w:tabs>
      </w:pPr>
    </w:p>
    <w:p w14:paraId="344FF3AA" w14:textId="634DD8AF" w:rsidR="004A73BF" w:rsidRPr="006621AA" w:rsidRDefault="004A73BF" w:rsidP="00B70876">
      <w:pPr>
        <w:tabs>
          <w:tab w:val="left" w:pos="10260"/>
        </w:tabs>
      </w:pPr>
    </w:p>
    <w:p w14:paraId="7A43902E" w14:textId="420646B1" w:rsidR="004A73BF" w:rsidRPr="006621AA" w:rsidRDefault="004A73BF" w:rsidP="00B70876">
      <w:pPr>
        <w:tabs>
          <w:tab w:val="left" w:pos="10260"/>
        </w:tabs>
      </w:pPr>
    </w:p>
    <w:p w14:paraId="0CFF233C" w14:textId="1F1BBDAF" w:rsidR="004A73BF" w:rsidRPr="006621AA" w:rsidRDefault="004A73BF" w:rsidP="00B70876">
      <w:pPr>
        <w:tabs>
          <w:tab w:val="left" w:pos="10260"/>
        </w:tabs>
      </w:pPr>
    </w:p>
    <w:p w14:paraId="32F76547" w14:textId="75B049B7" w:rsidR="004A73BF" w:rsidRPr="006621AA" w:rsidRDefault="004A73BF" w:rsidP="00B70876">
      <w:pPr>
        <w:tabs>
          <w:tab w:val="left" w:pos="10260"/>
        </w:tabs>
      </w:pPr>
    </w:p>
    <w:p w14:paraId="57F51C46" w14:textId="0995BDDD" w:rsidR="004A73BF" w:rsidRPr="006621AA" w:rsidRDefault="004A73BF" w:rsidP="00B70876">
      <w:pPr>
        <w:tabs>
          <w:tab w:val="left" w:pos="10260"/>
        </w:tabs>
      </w:pPr>
    </w:p>
    <w:p w14:paraId="714A8E35" w14:textId="19831907" w:rsidR="004A73BF" w:rsidRPr="006621AA" w:rsidRDefault="004A73BF" w:rsidP="00B70876">
      <w:pPr>
        <w:tabs>
          <w:tab w:val="left" w:pos="10260"/>
        </w:tabs>
      </w:pPr>
    </w:p>
    <w:p w14:paraId="543E6CDB" w14:textId="7CA78A3E" w:rsidR="004A73BF" w:rsidRPr="006621AA" w:rsidRDefault="004A73BF" w:rsidP="00B70876">
      <w:pPr>
        <w:tabs>
          <w:tab w:val="left" w:pos="10260"/>
        </w:tabs>
      </w:pPr>
    </w:p>
    <w:p w14:paraId="79E2F315" w14:textId="78392DA3" w:rsidR="004A73BF" w:rsidRPr="006621AA" w:rsidRDefault="00AC4A45" w:rsidP="00B70876">
      <w:pPr>
        <w:tabs>
          <w:tab w:val="left" w:pos="10260"/>
        </w:tabs>
      </w:pPr>
      <w:r>
        <w:rPr>
          <w:noProof/>
        </w:rPr>
        <mc:AlternateContent>
          <mc:Choice Requires="wps">
            <w:drawing>
              <wp:anchor distT="0" distB="0" distL="114300" distR="114300" simplePos="0" relativeHeight="251731456" behindDoc="0" locked="0" layoutInCell="1" allowOverlap="1" wp14:anchorId="32215694" wp14:editId="76B5E868">
                <wp:simplePos x="0" y="0"/>
                <wp:positionH relativeFrom="column">
                  <wp:posOffset>-453390</wp:posOffset>
                </wp:positionH>
                <wp:positionV relativeFrom="paragraph">
                  <wp:posOffset>139140</wp:posOffset>
                </wp:positionV>
                <wp:extent cx="4625340" cy="18287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5340" cy="1828725"/>
                        </a:xfrm>
                        <a:prstGeom prst="rect">
                          <a:avLst/>
                        </a:prstGeom>
                        <a:noFill/>
                        <a:ln w="6350">
                          <a:noFill/>
                        </a:ln>
                      </wps:spPr>
                      <wps:txbx>
                        <w:txbxContent>
                          <w:p w14:paraId="48988AC3" w14:textId="29F94AE7" w:rsidR="00424159" w:rsidRPr="00F02194" w:rsidRDefault="00AE5B2E" w:rsidP="00AC4A45">
                            <w:pPr>
                              <w:jc w:val="center"/>
                              <w:rPr>
                                <w:rFonts w:ascii="Arial" w:hAnsi="Arial" w:cs="Arial"/>
                                <w:b/>
                                <w:bCs/>
                                <w:color w:val="FFFFFF" w:themeColor="background1"/>
                                <w:sz w:val="56"/>
                                <w:szCs w:val="56"/>
                                <w:lang w:val="da-DK"/>
                              </w:rPr>
                            </w:pPr>
                            <w:r>
                              <w:rPr>
                                <w:rFonts w:ascii="Arial" w:hAnsi="Arial" w:cs="Arial"/>
                                <w:b/>
                                <w:bCs/>
                                <w:color w:val="FFFFFF" w:themeColor="background1"/>
                                <w:sz w:val="56"/>
                                <w:szCs w:val="56"/>
                                <w:lang w:val="da-DK"/>
                              </w:rPr>
                              <w:t>Information om det juridiske grundlag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35.7pt;margin-top:10.95pt;width:364.2pt;height:2in;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" filled="f" stroked="f" strokeweight=".5pt">
                <v:textbox>
                  <w:txbxContent>
                    <w:p w14:paraId="48988AC3" w14:textId="29F94AE7" w:rsidR="00424159" w:rsidRPr="00F02194" w:rsidRDefault="00AE5B2E" w:rsidP="00AC4A45">
                      <w:pPr>
                        <w:jc w:val="center"/>
                        <w:rPr>
                          <w:rFonts w:ascii="Arial" w:hAnsi="Arial" w:cs="Arial"/>
                          <w:b/>
                          <w:bCs/>
                          <w:color w:val="FFFFFF" w:themeColor="background1"/>
                          <w:sz w:val="56"/>
                          <w:szCs w:val="56"/>
                          <w:lang w:val="da-DK"/>
                        </w:rPr>
                      </w:pPr>
                      <w:r>
                        <w:rPr>
                          <w:rFonts w:ascii="Arial" w:hAnsi="Arial" w:cs="Arial"/>
                          <w:b/>
                          <w:bCs/>
                          <w:color w:val="FFFFFF" w:themeColor="background1"/>
                          <w:sz w:val="56"/>
                          <w:szCs w:val="56"/>
                          <w:lang w:val="da-DK"/>
                        </w:rPr>
                        <w:t>Information om det juridiske grundlag</w:t>
                      </w:r>
                    </w:p>
                  </w:txbxContent>
                </v:textbox>
              </v:shape>
            </w:pict>
          </mc:Fallback>
        </mc:AlternateContent>
      </w: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0ED066D" w14:textId="5C055BE2" w:rsidR="00B70876" w:rsidRPr="006621AA" w:rsidRDefault="00B70876" w:rsidP="00B70876">
      <w:pPr>
        <w:tabs>
          <w:tab w:val="left" w:pos="10260"/>
        </w:tabs>
      </w:pPr>
    </w:p>
    <w:p w14:paraId="501C7470" w14:textId="2D28C5E0" w:rsidR="001351ED" w:rsidRPr="006621AA" w:rsidRDefault="001351ED" w:rsidP="001351ED">
      <w:pPr>
        <w:tabs>
          <w:tab w:val="left" w:pos="10260"/>
        </w:tabs>
      </w:pPr>
    </w:p>
    <w:p w14:paraId="3A0B8BFB" w14:textId="1E6D7D49" w:rsidR="00B12101" w:rsidRDefault="001351ED" w:rsidP="00997174">
      <w:pPr>
        <w:rPr>
          <w:rStyle w:val="sowc"/>
        </w:rPr>
      </w:pPr>
      <w:r w:rsidRPr="006621AA">
        <w:br w:type="page"/>
      </w:r>
    </w:p>
    <w:p w14:paraId="6AD37136" w14:textId="0C8216D2" w:rsidR="00FD2EA0" w:rsidRDefault="007D1DB6" w:rsidP="00FD2EA0">
      <w:pPr>
        <w:tabs>
          <w:tab w:val="left" w:pos="10260"/>
        </w:tabs>
      </w:pPr>
      <w:r w:rsidRPr="006621AA">
        <w:rPr>
          <w:noProof/>
          <w:lang w:eastAsia="en-US"/>
        </w:rPr>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C9380" w14:textId="5BBB4992" w:rsidR="00FD2EA0" w:rsidRPr="00997174" w:rsidRDefault="00FD2EA0" w:rsidP="00997174">
                            <w:pPr>
                              <w:spacing w:line="360" w:lineRule="auto"/>
                              <w:rPr>
                                <w:rFonts w:ascii="Arial" w:hAnsi="Arial" w:cs="Arial"/>
                                <w:b/>
                                <w:color w:val="FFFFFF" w:themeColor="background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42179" id="Rectangle 28" o:spid="_x0000_s1027"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" fillcolor="#007091" stroked="f" strokeweight="2pt">
                <v:textbox>
                  <w:txbxContent>
                    <w:p w14:paraId="2D9C9380" w14:textId="5BBB4992" w:rsidR="00FD2EA0" w:rsidRPr="00997174" w:rsidRDefault="00FD2EA0" w:rsidP="00997174">
                      <w:pPr>
                        <w:spacing w:line="360" w:lineRule="auto"/>
                        <w:rPr>
                          <w:rFonts w:ascii="Arial" w:hAnsi="Arial" w:cs="Arial"/>
                          <w:b/>
                          <w:color w:val="FFFFFF" w:themeColor="background1"/>
                          <w:sz w:val="36"/>
                          <w:szCs w:val="36"/>
                        </w:rPr>
                      </w:pPr>
                    </w:p>
                  </w:txbxContent>
                </v:textbox>
              </v:rect>
            </w:pict>
          </mc:Fallback>
        </mc:AlternateContent>
      </w:r>
    </w:p>
    <w:p w14:paraId="4CAB0B0B" w14:textId="0FA51764" w:rsidR="00FD2EA0" w:rsidRPr="006621AA" w:rsidRDefault="00FD2EA0" w:rsidP="00FD2EA0">
      <w:pPr>
        <w:tabs>
          <w:tab w:val="left" w:pos="10260"/>
        </w:tabs>
      </w:pPr>
    </w:p>
    <w:p w14:paraId="2773A62B" w14:textId="77777777" w:rsidR="00997174" w:rsidRDefault="00997174" w:rsidP="00FD2EA0">
      <w:pPr>
        <w:pStyle w:val="MyHeadtitle"/>
        <w:spacing w:before="0" w:after="0" w:line="276" w:lineRule="auto"/>
        <w:jc w:val="both"/>
        <w:rPr>
          <w:rFonts w:ascii="Times New Roman" w:hAnsi="Times New Roman" w:cs="Times New Roman"/>
          <w:color w:val="336666" w:themeColor="accent2"/>
          <w:sz w:val="40"/>
          <w:szCs w:val="24"/>
        </w:rPr>
      </w:pPr>
    </w:p>
    <w:p w14:paraId="4676153D" w14:textId="39164C23" w:rsidR="00997174" w:rsidRPr="006621AA" w:rsidRDefault="00997174" w:rsidP="00FD2EA0">
      <w:pPr>
        <w:pStyle w:val="MyHeadtitle"/>
        <w:spacing w:before="0" w:after="0" w:line="276" w:lineRule="auto"/>
        <w:jc w:val="both"/>
        <w:rPr>
          <w:rFonts w:ascii="Times New Roman" w:hAnsi="Times New Roman" w:cs="Times New Roman"/>
          <w:color w:val="336666" w:themeColor="accent2"/>
          <w:sz w:val="40"/>
          <w:szCs w:val="24"/>
        </w:rPr>
        <w:sectPr w:rsidR="00997174" w:rsidRPr="006621AA" w:rsidSect="00FD2EA0">
          <w:footerReference w:type="default" r:id="rId12"/>
          <w:type w:val="continuous"/>
          <w:pgSz w:w="12240" w:h="15840" w:code="1"/>
          <w:pgMar w:top="810" w:right="990" w:bottom="1620" w:left="990" w:header="360" w:footer="371" w:gutter="0"/>
          <w:cols w:space="708"/>
          <w:docGrid w:linePitch="360"/>
        </w:sectPr>
      </w:pPr>
    </w:p>
    <w:p w14:paraId="3B19A7D7" w14:textId="77777777" w:rsidR="00FD2EA0" w:rsidRPr="006621AA" w:rsidRDefault="00FD2EA0" w:rsidP="00FD2EA0">
      <w:pPr>
        <w:tabs>
          <w:tab w:val="left" w:pos="10260"/>
        </w:tabs>
        <w:spacing w:line="276" w:lineRule="auto"/>
        <w:sectPr w:rsidR="00FD2EA0" w:rsidRPr="006621AA" w:rsidSect="00A87BD2">
          <w:type w:val="continuous"/>
          <w:pgSz w:w="12240" w:h="15840" w:code="1"/>
          <w:pgMar w:top="630" w:right="990" w:bottom="1620" w:left="990" w:header="360" w:footer="371" w:gutter="0"/>
          <w:cols w:num="2" w:space="708"/>
          <w:docGrid w:linePitch="360"/>
        </w:sectPr>
      </w:pPr>
    </w:p>
    <w:p w14:paraId="320C972B" w14:textId="77777777" w:rsidR="00AE5B2E" w:rsidRPr="00AE5B2E" w:rsidRDefault="00AE5B2E" w:rsidP="00AE5B2E">
      <w:pPr>
        <w:spacing w:line="360" w:lineRule="auto"/>
        <w:jc w:val="both"/>
        <w:rPr>
          <w:rFonts w:ascii="Arial" w:hAnsi="Arial" w:cs="Arial"/>
          <w:b/>
          <w:bCs/>
          <w:color w:val="000000"/>
          <w:sz w:val="22"/>
          <w:szCs w:val="22"/>
          <w:lang w:val="da-DK" w:eastAsia="da-DK"/>
        </w:rPr>
      </w:pPr>
      <w:r w:rsidRPr="00AE5B2E">
        <w:rPr>
          <w:rFonts w:ascii="Arial" w:hAnsi="Arial" w:cs="Arial"/>
          <w:b/>
          <w:bCs/>
          <w:color w:val="000000"/>
          <w:sz w:val="22"/>
          <w:szCs w:val="22"/>
          <w:lang w:val="da-DK"/>
        </w:rPr>
        <w:t>Ny lov om forpligtelse til etablering af whistleblowerordning</w:t>
      </w:r>
    </w:p>
    <w:p w14:paraId="2810288F" w14:textId="77777777" w:rsidR="00AE5B2E" w:rsidRPr="00AE5B2E" w:rsidRDefault="00AE5B2E" w:rsidP="00AE5B2E">
      <w:pPr>
        <w:spacing w:line="360" w:lineRule="auto"/>
        <w:jc w:val="both"/>
        <w:rPr>
          <w:rFonts w:ascii="Arial" w:hAnsi="Arial" w:cs="Arial"/>
          <w:color w:val="000000"/>
          <w:sz w:val="22"/>
          <w:szCs w:val="22"/>
          <w:lang w:val="da-DK"/>
        </w:rPr>
      </w:pPr>
      <w:r w:rsidRPr="00AE5B2E">
        <w:rPr>
          <w:rFonts w:ascii="Arial" w:hAnsi="Arial" w:cs="Arial"/>
          <w:color w:val="000000"/>
          <w:sz w:val="22"/>
          <w:szCs w:val="22"/>
          <w:lang w:val="da-DK"/>
        </w:rPr>
        <w:t xml:space="preserve">I 2019 blev vedtaget EU-direktivet om whistleblowere, som de enkelte medlemslande skal implementere i national lovgivning. </w:t>
      </w:r>
    </w:p>
    <w:p w14:paraId="0EF0CAEC" w14:textId="77777777" w:rsidR="00AE5B2E" w:rsidRPr="00AE5B2E" w:rsidRDefault="00AE5B2E" w:rsidP="00AE5B2E">
      <w:pPr>
        <w:spacing w:line="360" w:lineRule="auto"/>
        <w:jc w:val="both"/>
        <w:rPr>
          <w:rFonts w:ascii="Arial" w:hAnsi="Arial" w:cs="Arial"/>
          <w:color w:val="000000"/>
          <w:sz w:val="22"/>
          <w:szCs w:val="22"/>
          <w:lang w:val="da-DK"/>
        </w:rPr>
      </w:pPr>
    </w:p>
    <w:p w14:paraId="46A57276" w14:textId="77777777" w:rsidR="00AE5B2E" w:rsidRPr="00AE5B2E" w:rsidRDefault="00AE5B2E" w:rsidP="00AE5B2E">
      <w:pPr>
        <w:spacing w:line="360" w:lineRule="auto"/>
        <w:jc w:val="both"/>
        <w:rPr>
          <w:rFonts w:ascii="Arial" w:hAnsi="Arial" w:cs="Arial"/>
          <w:b/>
          <w:bCs/>
          <w:color w:val="000000"/>
          <w:sz w:val="22"/>
          <w:szCs w:val="22"/>
          <w:lang w:val="da-DK"/>
        </w:rPr>
      </w:pPr>
      <w:r w:rsidRPr="00AE5B2E">
        <w:rPr>
          <w:rFonts w:ascii="Arial" w:hAnsi="Arial" w:cs="Arial"/>
          <w:b/>
          <w:bCs/>
          <w:color w:val="000000"/>
          <w:sz w:val="22"/>
          <w:szCs w:val="22"/>
          <w:lang w:val="da-DK"/>
        </w:rPr>
        <w:t>Hvad gælder om etablering af en whistleblowerordning?</w:t>
      </w:r>
    </w:p>
    <w:p w14:paraId="5424F195" w14:textId="77777777" w:rsidR="00AE5B2E" w:rsidRPr="00AE5B2E" w:rsidRDefault="00AE5B2E" w:rsidP="00AE5B2E">
      <w:pPr>
        <w:spacing w:line="360" w:lineRule="auto"/>
        <w:rPr>
          <w:rFonts w:ascii="Arial" w:hAnsi="Arial" w:cs="Arial"/>
          <w:color w:val="000000"/>
          <w:sz w:val="22"/>
          <w:szCs w:val="22"/>
          <w:lang w:val="da-DK"/>
        </w:rPr>
      </w:pPr>
      <w:r w:rsidRPr="00AE5B2E">
        <w:rPr>
          <w:rFonts w:ascii="Arial" w:hAnsi="Arial" w:cs="Arial"/>
          <w:color w:val="000000"/>
          <w:sz w:val="22"/>
          <w:szCs w:val="22"/>
          <w:lang w:val="da-DK"/>
        </w:rPr>
        <w:t>Direktivet indebærer, at alle virksomheder med 50 eller flere ansatte skal etablere egne whistleblowerordninger, som skal muliggøre skriftlig eller mundtlig indberetning.</w:t>
      </w:r>
      <w:r w:rsidRPr="00AE5B2E">
        <w:rPr>
          <w:rFonts w:ascii="Arial" w:hAnsi="Arial" w:cs="Arial"/>
          <w:color w:val="000000"/>
          <w:sz w:val="22"/>
          <w:szCs w:val="22"/>
          <w:lang w:val="da-DK"/>
        </w:rPr>
        <w:br/>
      </w:r>
      <w:r w:rsidRPr="00AE5B2E">
        <w:rPr>
          <w:rFonts w:ascii="Arial" w:hAnsi="Arial" w:cs="Arial"/>
          <w:color w:val="000000"/>
          <w:sz w:val="22"/>
          <w:szCs w:val="22"/>
          <w:lang w:val="da-DK"/>
        </w:rPr>
        <w:br/>
        <w:t xml:space="preserve">Virksomheder skal udpege en upartisk person eller afdeling i virksomheden eller en uafhængig virksomhed, som skal modtage indberetningerne og have kontakt med whistlebloweren, og som i øvrigt skal følge op på indberetninger og give feedback til whistlebloweren. </w:t>
      </w:r>
    </w:p>
    <w:p w14:paraId="2854BD5E" w14:textId="77777777" w:rsidR="00AE5B2E" w:rsidRPr="00AE5B2E" w:rsidRDefault="00AE5B2E" w:rsidP="00AE5B2E">
      <w:pPr>
        <w:spacing w:line="360" w:lineRule="auto"/>
        <w:jc w:val="both"/>
        <w:rPr>
          <w:rFonts w:ascii="Arial" w:hAnsi="Arial" w:cs="Arial"/>
          <w:color w:val="000000"/>
          <w:sz w:val="22"/>
          <w:szCs w:val="22"/>
          <w:lang w:val="da-DK"/>
        </w:rPr>
      </w:pPr>
    </w:p>
    <w:p w14:paraId="55F189A0" w14:textId="77777777" w:rsidR="00AE5B2E" w:rsidRPr="00AE5B2E" w:rsidRDefault="00AE5B2E" w:rsidP="00AE5B2E">
      <w:pPr>
        <w:spacing w:line="360" w:lineRule="auto"/>
        <w:jc w:val="both"/>
        <w:rPr>
          <w:rFonts w:ascii="Arial" w:hAnsi="Arial" w:cs="Arial"/>
          <w:color w:val="000000"/>
          <w:sz w:val="22"/>
          <w:szCs w:val="22"/>
          <w:lang w:val="da-DK"/>
        </w:rPr>
      </w:pPr>
      <w:r w:rsidRPr="00AE5B2E">
        <w:rPr>
          <w:rFonts w:ascii="Arial" w:hAnsi="Arial" w:cs="Arial"/>
          <w:color w:val="000000"/>
          <w:sz w:val="22"/>
          <w:szCs w:val="22"/>
          <w:lang w:val="da-DK"/>
        </w:rPr>
        <w:t>Whistleblowerordningen skal udformes, etableres og drives på en måde, der sikrer fortrolighed om identiteten på whistlebloweren og enhver person nævnt i indberetningen. Loven indeholder også en række procedurekrav til håndtering og opfølgning på indberetninger.</w:t>
      </w:r>
    </w:p>
    <w:p w14:paraId="2E39AE18" w14:textId="77777777" w:rsidR="00AE5B2E" w:rsidRPr="00AE5B2E" w:rsidRDefault="00AE5B2E" w:rsidP="00AE5B2E">
      <w:pPr>
        <w:spacing w:line="360" w:lineRule="auto"/>
        <w:jc w:val="both"/>
        <w:rPr>
          <w:rFonts w:ascii="Arial" w:hAnsi="Arial" w:cs="Arial"/>
          <w:color w:val="000000"/>
          <w:sz w:val="22"/>
          <w:szCs w:val="22"/>
          <w:lang w:val="da-DK"/>
        </w:rPr>
      </w:pPr>
    </w:p>
    <w:p w14:paraId="75D8A8EE" w14:textId="77777777" w:rsidR="00AE5B2E" w:rsidRPr="00AE5B2E" w:rsidRDefault="00AE5B2E" w:rsidP="00AE5B2E">
      <w:pPr>
        <w:spacing w:line="360" w:lineRule="auto"/>
        <w:jc w:val="both"/>
        <w:rPr>
          <w:rFonts w:ascii="Arial" w:hAnsi="Arial" w:cs="Arial"/>
          <w:b/>
          <w:bCs/>
          <w:color w:val="000000"/>
          <w:sz w:val="22"/>
          <w:szCs w:val="22"/>
          <w:lang w:val="da-DK"/>
        </w:rPr>
      </w:pPr>
      <w:r w:rsidRPr="00AE5B2E">
        <w:rPr>
          <w:rFonts w:ascii="Arial" w:hAnsi="Arial" w:cs="Arial"/>
          <w:b/>
          <w:bCs/>
          <w:color w:val="000000"/>
          <w:sz w:val="22"/>
          <w:szCs w:val="22"/>
          <w:lang w:val="da-DK"/>
        </w:rPr>
        <w:t>Hvad er fristen for etablering af en whistleblowerordning? </w:t>
      </w:r>
    </w:p>
    <w:p w14:paraId="13D5A6FA" w14:textId="77777777" w:rsidR="00AE5B2E" w:rsidRPr="00AE5B2E" w:rsidRDefault="00AE5B2E" w:rsidP="00AE5B2E">
      <w:pPr>
        <w:spacing w:line="360" w:lineRule="auto"/>
        <w:jc w:val="both"/>
        <w:rPr>
          <w:rFonts w:ascii="Arial" w:hAnsi="Arial" w:cs="Arial"/>
          <w:color w:val="000000"/>
          <w:sz w:val="22"/>
          <w:szCs w:val="22"/>
          <w:lang w:val="da-DK"/>
        </w:rPr>
      </w:pPr>
      <w:r w:rsidRPr="00AE5B2E">
        <w:rPr>
          <w:rFonts w:ascii="Arial" w:hAnsi="Arial" w:cs="Arial"/>
          <w:color w:val="000000"/>
          <w:sz w:val="22"/>
          <w:szCs w:val="22"/>
          <w:lang w:val="da-DK"/>
        </w:rPr>
        <w:t>Fristen for etablering af en whistleblowerordning afhænger af antallet af ansatte. Virksomheder med flere end 249 medarbejdere skal efter direktivet etablere en whistleblowerordning senest 17. december 2021 dog således, at virksomheder med mellem 50-249 medarbejdere skal etablere en whistleblowerordning inden den 17. december 2023.</w:t>
      </w:r>
    </w:p>
    <w:p w14:paraId="067389AF" w14:textId="77777777" w:rsidR="00AE5B2E" w:rsidRPr="00AE5B2E" w:rsidRDefault="00AE5B2E" w:rsidP="00AE5B2E">
      <w:pPr>
        <w:spacing w:line="360" w:lineRule="auto"/>
        <w:jc w:val="both"/>
        <w:rPr>
          <w:rFonts w:ascii="Arial" w:hAnsi="Arial" w:cs="Arial"/>
          <w:color w:val="000000"/>
          <w:sz w:val="22"/>
          <w:szCs w:val="22"/>
          <w:lang w:val="da-DK"/>
        </w:rPr>
      </w:pPr>
    </w:p>
    <w:p w14:paraId="1975AF48" w14:textId="77777777" w:rsidR="00AE5B2E" w:rsidRPr="00AE5B2E" w:rsidRDefault="00AE5B2E" w:rsidP="00AE5B2E">
      <w:pPr>
        <w:spacing w:line="360" w:lineRule="auto"/>
        <w:jc w:val="both"/>
        <w:rPr>
          <w:rFonts w:ascii="Arial" w:hAnsi="Arial" w:cs="Arial"/>
          <w:color w:val="000000"/>
          <w:sz w:val="22"/>
          <w:szCs w:val="22"/>
          <w:lang w:val="da-DK"/>
        </w:rPr>
      </w:pPr>
      <w:r w:rsidRPr="00AE5B2E">
        <w:rPr>
          <w:rFonts w:ascii="Arial" w:hAnsi="Arial" w:cs="Arial"/>
          <w:color w:val="000000"/>
          <w:sz w:val="22"/>
          <w:szCs w:val="22"/>
          <w:lang w:val="da-DK"/>
        </w:rPr>
        <w:t>Undlader en virksomhed at etablere en whistleblowerordning, kan virksomheden straffes med bøde.</w:t>
      </w:r>
    </w:p>
    <w:p w14:paraId="52D2132E" w14:textId="77777777" w:rsidR="00AE5B2E" w:rsidRPr="00AE5B2E" w:rsidRDefault="00AE5B2E" w:rsidP="00AE5B2E">
      <w:pPr>
        <w:spacing w:line="360" w:lineRule="auto"/>
        <w:jc w:val="both"/>
        <w:rPr>
          <w:rFonts w:ascii="Arial" w:hAnsi="Arial" w:cs="Arial"/>
          <w:b/>
          <w:bCs/>
          <w:color w:val="000000"/>
          <w:sz w:val="22"/>
          <w:szCs w:val="22"/>
          <w:lang w:val="da-DK"/>
        </w:rPr>
      </w:pPr>
    </w:p>
    <w:p w14:paraId="6036A420" w14:textId="77777777" w:rsidR="00AE5B2E" w:rsidRPr="00AE5B2E" w:rsidRDefault="00AE5B2E" w:rsidP="00AE5B2E">
      <w:pPr>
        <w:spacing w:line="360" w:lineRule="auto"/>
        <w:jc w:val="both"/>
        <w:rPr>
          <w:rFonts w:ascii="Arial" w:hAnsi="Arial" w:cs="Arial"/>
          <w:b/>
          <w:bCs/>
          <w:color w:val="000000"/>
          <w:sz w:val="22"/>
          <w:szCs w:val="22"/>
          <w:lang w:val="da-DK"/>
        </w:rPr>
      </w:pPr>
      <w:r w:rsidRPr="00AE5B2E">
        <w:rPr>
          <w:rFonts w:ascii="Arial" w:hAnsi="Arial" w:cs="Arial"/>
          <w:b/>
          <w:bCs/>
          <w:color w:val="000000"/>
          <w:sz w:val="22"/>
          <w:szCs w:val="22"/>
          <w:lang w:val="da-DK"/>
        </w:rPr>
        <w:t>Hvem er beskyttet af loven?</w:t>
      </w:r>
    </w:p>
    <w:p w14:paraId="2B43465A" w14:textId="77777777" w:rsidR="00AE5B2E" w:rsidRPr="00AE5B2E" w:rsidRDefault="00AE5B2E" w:rsidP="00AE5B2E">
      <w:pPr>
        <w:spacing w:line="360" w:lineRule="auto"/>
        <w:jc w:val="both"/>
        <w:rPr>
          <w:rFonts w:ascii="Arial" w:hAnsi="Arial" w:cs="Arial"/>
          <w:color w:val="000000"/>
          <w:sz w:val="22"/>
          <w:szCs w:val="22"/>
          <w:lang w:val="da-DK"/>
        </w:rPr>
      </w:pPr>
      <w:r w:rsidRPr="00AE5B2E">
        <w:rPr>
          <w:rFonts w:ascii="Arial" w:hAnsi="Arial" w:cs="Arial"/>
          <w:color w:val="000000"/>
          <w:sz w:val="22"/>
          <w:szCs w:val="22"/>
          <w:lang w:val="da-DK"/>
        </w:rPr>
        <w:t>Direktivet beskytter whistleblowere mod bl.a. repressalier, når vedkommende indberetter forhold, som vedkommende er blevet bekendt med i forbindelse med forhold, der relaterer sig til arbejdet og virksomheden.</w:t>
      </w:r>
    </w:p>
    <w:p w14:paraId="4EEEC5A8" w14:textId="77777777" w:rsidR="00AE5B2E" w:rsidRPr="00AE5B2E" w:rsidRDefault="00AE5B2E" w:rsidP="00AE5B2E">
      <w:pPr>
        <w:spacing w:line="360" w:lineRule="auto"/>
        <w:jc w:val="both"/>
        <w:rPr>
          <w:rFonts w:ascii="Arial" w:hAnsi="Arial" w:cs="Arial"/>
          <w:color w:val="000000"/>
          <w:sz w:val="22"/>
          <w:szCs w:val="22"/>
          <w:lang w:val="da-DK"/>
        </w:rPr>
      </w:pPr>
    </w:p>
    <w:p w14:paraId="3921AB81" w14:textId="77777777" w:rsidR="00AE5B2E" w:rsidRPr="00AE5B2E" w:rsidRDefault="00AE5B2E" w:rsidP="00AE5B2E">
      <w:pPr>
        <w:spacing w:line="360" w:lineRule="auto"/>
        <w:jc w:val="both"/>
        <w:rPr>
          <w:rFonts w:ascii="Arial" w:hAnsi="Arial" w:cs="Arial"/>
          <w:color w:val="000000"/>
          <w:sz w:val="22"/>
          <w:szCs w:val="22"/>
          <w:lang w:val="da-DK"/>
        </w:rPr>
      </w:pPr>
      <w:r w:rsidRPr="00AE5B2E">
        <w:rPr>
          <w:rFonts w:ascii="Arial" w:hAnsi="Arial" w:cs="Arial"/>
          <w:color w:val="000000"/>
          <w:sz w:val="22"/>
          <w:szCs w:val="22"/>
          <w:lang w:val="da-DK"/>
        </w:rPr>
        <w:t xml:space="preserve">Direktivet betyder, at der ikke må udøves repressalier mod whistleblowere, herunder afskedigelse, forflytning, lønnedgang, chikane mv., som følge af at de har foretaget en indberetning. </w:t>
      </w:r>
    </w:p>
    <w:p w14:paraId="5BBD35CC" w14:textId="77777777" w:rsidR="00AE5B2E" w:rsidRPr="00AE5B2E" w:rsidRDefault="00AE5B2E" w:rsidP="00AE5B2E">
      <w:pPr>
        <w:spacing w:line="360" w:lineRule="auto"/>
        <w:jc w:val="both"/>
        <w:rPr>
          <w:rFonts w:ascii="Arial" w:hAnsi="Arial" w:cs="Arial"/>
          <w:color w:val="000000"/>
          <w:sz w:val="22"/>
          <w:szCs w:val="22"/>
          <w:lang w:val="da-DK"/>
        </w:rPr>
      </w:pPr>
    </w:p>
    <w:p w14:paraId="04C5CD52" w14:textId="77777777" w:rsidR="00AE5B2E" w:rsidRPr="00AE5B2E" w:rsidRDefault="00AE5B2E" w:rsidP="00AE5B2E">
      <w:pPr>
        <w:spacing w:line="360" w:lineRule="auto"/>
        <w:rPr>
          <w:rFonts w:ascii="Arial" w:hAnsi="Arial" w:cs="Arial"/>
          <w:color w:val="000000"/>
          <w:sz w:val="22"/>
          <w:szCs w:val="22"/>
          <w:lang w:val="da-DK"/>
        </w:rPr>
      </w:pPr>
      <w:r w:rsidRPr="00AE5B2E">
        <w:rPr>
          <w:rFonts w:ascii="Arial" w:hAnsi="Arial" w:cs="Arial"/>
          <w:color w:val="000000"/>
          <w:sz w:val="22"/>
          <w:szCs w:val="22"/>
          <w:lang w:val="da-DK"/>
        </w:rPr>
        <w:t>Whistleblowere, der er blevet udsat for repressalier som følge af en indberetning, har krav på en særlig godtgørelse. Der gælder en særlig bevisbyrderegel om omvendt bevisbyrde, hvorefter det er virksomheden, der skal bevise, at der konkret ikke er tale om repressalier, hvis whistlebloweren beviser at have foretaget en indberetning og have lidt en ulempe.</w:t>
      </w:r>
      <w:r w:rsidRPr="00AE5B2E">
        <w:rPr>
          <w:rFonts w:ascii="Arial" w:hAnsi="Arial" w:cs="Arial"/>
          <w:color w:val="000000"/>
          <w:sz w:val="22"/>
          <w:szCs w:val="22"/>
          <w:lang w:val="da-DK"/>
        </w:rPr>
        <w:br/>
      </w:r>
      <w:r w:rsidRPr="00AE5B2E">
        <w:rPr>
          <w:rFonts w:ascii="Arial" w:hAnsi="Arial" w:cs="Arial"/>
          <w:color w:val="000000"/>
          <w:sz w:val="22"/>
          <w:szCs w:val="22"/>
          <w:lang w:val="da-DK"/>
        </w:rPr>
        <w:br/>
        <w:t>Beskyttelsen indeholder derudover en særlig tavshedspligt om indberetningens indhold og whistleblowerens identitet. Der vil dog være mulighed for at videregive oplysningerne under visse betingelser, herunder når det er nødvendigt til brug for at hindre lovovertrædelser mv.</w:t>
      </w:r>
    </w:p>
    <w:p w14:paraId="33628015" w14:textId="77777777" w:rsidR="00AE5B2E" w:rsidRPr="00AE5B2E" w:rsidRDefault="00AE5B2E" w:rsidP="00AE5B2E">
      <w:pPr>
        <w:spacing w:line="360" w:lineRule="auto"/>
        <w:rPr>
          <w:rFonts w:ascii="Arial" w:hAnsi="Arial" w:cs="Arial"/>
          <w:color w:val="000000"/>
          <w:sz w:val="22"/>
          <w:szCs w:val="22"/>
          <w:lang w:val="da-DK"/>
        </w:rPr>
      </w:pPr>
    </w:p>
    <w:p w14:paraId="64D86F6E" w14:textId="77777777" w:rsidR="00AE5B2E" w:rsidRPr="00AE5B2E" w:rsidRDefault="00AE5B2E" w:rsidP="00AE5B2E">
      <w:pPr>
        <w:spacing w:line="360" w:lineRule="auto"/>
        <w:jc w:val="both"/>
        <w:rPr>
          <w:rFonts w:ascii="Arial" w:hAnsi="Arial" w:cs="Arial"/>
          <w:b/>
          <w:bCs/>
          <w:color w:val="000000"/>
          <w:sz w:val="22"/>
          <w:szCs w:val="22"/>
          <w:lang w:val="da-DK"/>
        </w:rPr>
      </w:pPr>
      <w:r w:rsidRPr="00AE5B2E">
        <w:rPr>
          <w:rFonts w:ascii="Arial" w:hAnsi="Arial" w:cs="Arial"/>
          <w:b/>
          <w:bCs/>
          <w:color w:val="000000"/>
          <w:sz w:val="22"/>
          <w:szCs w:val="22"/>
          <w:lang w:val="da-DK"/>
        </w:rPr>
        <w:t>Hvad kan indberettes under en whistleblowerordning?</w:t>
      </w:r>
    </w:p>
    <w:p w14:paraId="5E37CBF1" w14:textId="77777777" w:rsidR="00AE5B2E" w:rsidRPr="00AE5B2E" w:rsidRDefault="00AE5B2E" w:rsidP="00AE5B2E">
      <w:pPr>
        <w:spacing w:line="360" w:lineRule="auto"/>
        <w:jc w:val="both"/>
        <w:rPr>
          <w:rFonts w:ascii="Arial" w:hAnsi="Arial" w:cs="Arial"/>
          <w:color w:val="000000"/>
          <w:sz w:val="22"/>
          <w:szCs w:val="22"/>
          <w:lang w:val="da-DK"/>
        </w:rPr>
      </w:pPr>
      <w:r w:rsidRPr="00AE5B2E">
        <w:rPr>
          <w:rFonts w:ascii="Arial" w:hAnsi="Arial" w:cs="Arial"/>
          <w:color w:val="000000"/>
          <w:sz w:val="22"/>
          <w:szCs w:val="22"/>
          <w:lang w:val="da-DK"/>
        </w:rPr>
        <w:t>Direktivets anvendelsesområde omfatter indberetninger om overtrædelser af en række EU-regler. I Danmark har man valgt, at whistleblowerordninger kan bruges til alle typer af alvorlige overtrædelser som fx sexchikane.</w:t>
      </w:r>
    </w:p>
    <w:p w14:paraId="1D97B57E" w14:textId="77777777" w:rsidR="00AE5B2E" w:rsidRPr="00AE5B2E" w:rsidRDefault="00AE5B2E" w:rsidP="00AE5B2E">
      <w:pPr>
        <w:spacing w:line="360" w:lineRule="auto"/>
        <w:jc w:val="both"/>
        <w:rPr>
          <w:rFonts w:ascii="Arial" w:hAnsi="Arial" w:cs="Arial"/>
          <w:caps/>
          <w:color w:val="000000"/>
          <w:sz w:val="22"/>
          <w:szCs w:val="22"/>
          <w:lang w:val="da-DK"/>
        </w:rPr>
      </w:pPr>
    </w:p>
    <w:p w14:paraId="601A6D8D" w14:textId="77777777" w:rsidR="00AE5B2E" w:rsidRPr="00AE5B2E" w:rsidRDefault="00AE5B2E" w:rsidP="00AE5B2E">
      <w:pPr>
        <w:spacing w:line="360" w:lineRule="auto"/>
        <w:jc w:val="both"/>
        <w:rPr>
          <w:rFonts w:ascii="Arial" w:hAnsi="Arial" w:cs="Arial"/>
          <w:b/>
          <w:bCs/>
          <w:color w:val="000000"/>
          <w:sz w:val="22"/>
          <w:szCs w:val="22"/>
          <w:lang w:val="da-DK"/>
        </w:rPr>
      </w:pPr>
      <w:r w:rsidRPr="00AE5B2E">
        <w:rPr>
          <w:rFonts w:ascii="Arial" w:hAnsi="Arial" w:cs="Arial"/>
          <w:b/>
          <w:bCs/>
          <w:color w:val="000000"/>
          <w:sz w:val="22"/>
          <w:szCs w:val="22"/>
          <w:lang w:val="da-DK"/>
        </w:rPr>
        <w:t>Hvad gælder om forholdet til GDPR?</w:t>
      </w:r>
    </w:p>
    <w:p w14:paraId="70E99EB3" w14:textId="77777777" w:rsidR="00AE5B2E" w:rsidRPr="00AE5B2E" w:rsidRDefault="00AE5B2E" w:rsidP="00AE5B2E">
      <w:pPr>
        <w:spacing w:line="360" w:lineRule="auto"/>
        <w:rPr>
          <w:rFonts w:ascii="Arial" w:hAnsi="Arial" w:cs="Arial"/>
          <w:color w:val="000000"/>
          <w:sz w:val="22"/>
          <w:szCs w:val="22"/>
          <w:lang w:val="da-DK"/>
        </w:rPr>
      </w:pPr>
      <w:r w:rsidRPr="00AE5B2E">
        <w:rPr>
          <w:rFonts w:ascii="Arial" w:hAnsi="Arial" w:cs="Arial"/>
          <w:color w:val="000000"/>
          <w:sz w:val="22"/>
          <w:szCs w:val="22"/>
          <w:lang w:val="da-DK"/>
        </w:rPr>
        <w:t>Direktivet indeholder en særlig mulighed for at behandle personoplysninger, når det er nødvendigt for at håndtere indberetninger efter ordningen.</w:t>
      </w:r>
      <w:r w:rsidRPr="00AE5B2E">
        <w:rPr>
          <w:rFonts w:ascii="Arial" w:hAnsi="Arial" w:cs="Arial"/>
          <w:color w:val="000000"/>
          <w:sz w:val="22"/>
          <w:szCs w:val="22"/>
          <w:lang w:val="da-DK"/>
        </w:rPr>
        <w:br/>
      </w:r>
      <w:r w:rsidRPr="00AE5B2E">
        <w:rPr>
          <w:rFonts w:ascii="Arial" w:hAnsi="Arial" w:cs="Arial"/>
          <w:color w:val="000000"/>
          <w:sz w:val="22"/>
          <w:szCs w:val="22"/>
          <w:lang w:val="da-DK"/>
        </w:rPr>
        <w:br/>
        <w:t>Virksomheder kan behandle ikke-følsomme personoplysninger, følsomme personoplysninger og oplysninger om strafbare forhold, når det er nødvendigt for at behandle indberetninger modtaget som led i whistleblowerordningen.</w:t>
      </w:r>
      <w:r w:rsidRPr="00AE5B2E">
        <w:rPr>
          <w:rFonts w:ascii="Arial" w:hAnsi="Arial" w:cs="Arial"/>
          <w:color w:val="000000"/>
          <w:sz w:val="22"/>
          <w:szCs w:val="22"/>
          <w:lang w:val="da-DK"/>
        </w:rPr>
        <w:br/>
      </w:r>
      <w:r w:rsidRPr="00AE5B2E">
        <w:rPr>
          <w:rFonts w:ascii="Arial" w:hAnsi="Arial" w:cs="Arial"/>
          <w:color w:val="000000"/>
          <w:sz w:val="22"/>
          <w:szCs w:val="22"/>
          <w:lang w:val="da-DK"/>
        </w:rPr>
        <w:br/>
        <w:t>De øvrige regler og principper i GDPR skal naturligvis fortsat iagttages ved behandling af personoplysninger i henhold til direktivet – og ikke mindst i de procedurer, der skal følges i de eventuelle efterfølgende undersøgelser som følge af indberetningerne.</w:t>
      </w:r>
    </w:p>
    <w:p w14:paraId="4D7A291F" w14:textId="77777777" w:rsidR="00AE5B2E" w:rsidRPr="00AE5B2E" w:rsidRDefault="00AE5B2E" w:rsidP="00AE5B2E">
      <w:pPr>
        <w:spacing w:line="360" w:lineRule="auto"/>
        <w:jc w:val="both"/>
        <w:rPr>
          <w:rFonts w:ascii="Arial" w:hAnsi="Arial" w:cs="Arial"/>
          <w:color w:val="000000"/>
          <w:sz w:val="22"/>
          <w:szCs w:val="22"/>
          <w:lang w:val="da-DK"/>
        </w:rPr>
      </w:pPr>
    </w:p>
    <w:p w14:paraId="628859E9" w14:textId="77777777" w:rsidR="00AE5B2E" w:rsidRPr="00AE5B2E" w:rsidRDefault="00AE5B2E" w:rsidP="00AE5B2E">
      <w:pPr>
        <w:spacing w:line="360" w:lineRule="auto"/>
        <w:jc w:val="both"/>
        <w:rPr>
          <w:rFonts w:ascii="Arial" w:hAnsi="Arial" w:cs="Arial"/>
          <w:b/>
          <w:bCs/>
          <w:color w:val="000000"/>
          <w:sz w:val="22"/>
          <w:szCs w:val="22"/>
          <w:lang w:val="da-DK"/>
        </w:rPr>
      </w:pPr>
      <w:r w:rsidRPr="00AE5B2E">
        <w:rPr>
          <w:rFonts w:ascii="Arial" w:hAnsi="Arial" w:cs="Arial"/>
          <w:b/>
          <w:bCs/>
          <w:color w:val="000000"/>
          <w:sz w:val="22"/>
          <w:szCs w:val="22"/>
          <w:lang w:val="da-DK"/>
        </w:rPr>
        <w:t>Hvad gælder om dokumentation og compliance-dokumenter </w:t>
      </w:r>
    </w:p>
    <w:p w14:paraId="23EE1CB5" w14:textId="77777777" w:rsidR="00AE5B2E" w:rsidRPr="00AE5B2E" w:rsidRDefault="00AE5B2E" w:rsidP="00AE5B2E">
      <w:pPr>
        <w:pStyle w:val="NormalWeb"/>
        <w:spacing w:before="0" w:beforeAutospacing="0" w:after="0" w:afterAutospacing="0" w:line="360" w:lineRule="auto"/>
        <w:jc w:val="both"/>
        <w:rPr>
          <w:rFonts w:ascii="Arial" w:hAnsi="Arial" w:cs="Arial"/>
          <w:color w:val="000000"/>
          <w:sz w:val="22"/>
          <w:szCs w:val="22"/>
        </w:rPr>
      </w:pPr>
      <w:r w:rsidRPr="00AE5B2E">
        <w:rPr>
          <w:rFonts w:ascii="Arial" w:hAnsi="Arial" w:cs="Arial"/>
          <w:color w:val="000000"/>
          <w:sz w:val="22"/>
          <w:szCs w:val="22"/>
        </w:rPr>
        <w:t xml:space="preserve">En virksomhed er forpligtet til at opbevare skriftlig dokumentation for etableringen af og procedurerne for den etablerede whistleblowerordning. Virksomheden skal således som minimum udarbejde en whistleblowerpolitik og en skriftlig procedure til håndtering af indberetninger. </w:t>
      </w:r>
    </w:p>
    <w:p w14:paraId="00D01629" w14:textId="77777777" w:rsidR="00AE5B2E" w:rsidRPr="00AE5B2E" w:rsidRDefault="00AE5B2E" w:rsidP="00AE5B2E">
      <w:pPr>
        <w:pStyle w:val="NormalWeb"/>
        <w:spacing w:before="0" w:beforeAutospacing="0" w:after="0" w:afterAutospacing="0" w:line="360" w:lineRule="auto"/>
        <w:jc w:val="both"/>
        <w:rPr>
          <w:rFonts w:ascii="Arial" w:hAnsi="Arial" w:cs="Arial"/>
          <w:b/>
          <w:bCs/>
          <w:color w:val="000000"/>
          <w:sz w:val="22"/>
          <w:szCs w:val="22"/>
        </w:rPr>
      </w:pPr>
      <w:r w:rsidRPr="00AE5B2E">
        <w:rPr>
          <w:rFonts w:ascii="Arial" w:hAnsi="Arial" w:cs="Arial"/>
          <w:color w:val="000000"/>
          <w:sz w:val="22"/>
          <w:szCs w:val="22"/>
        </w:rPr>
        <w:br/>
      </w:r>
      <w:r w:rsidRPr="00AE5B2E">
        <w:rPr>
          <w:rFonts w:ascii="Arial" w:hAnsi="Arial" w:cs="Arial"/>
          <w:b/>
          <w:bCs/>
          <w:color w:val="000000"/>
          <w:sz w:val="22"/>
          <w:szCs w:val="22"/>
        </w:rPr>
        <w:t>Hvilke overordnede krav gælder der til en whistleblowerordning?</w:t>
      </w:r>
    </w:p>
    <w:p w14:paraId="49EEE488" w14:textId="77777777" w:rsidR="00AE5B2E" w:rsidRPr="00AE5B2E" w:rsidRDefault="00AE5B2E" w:rsidP="00AE5B2E">
      <w:pPr>
        <w:spacing w:line="360" w:lineRule="auto"/>
        <w:jc w:val="both"/>
        <w:rPr>
          <w:rFonts w:ascii="Arial" w:hAnsi="Arial" w:cs="Arial"/>
          <w:color w:val="000000"/>
          <w:sz w:val="22"/>
          <w:szCs w:val="22"/>
          <w:lang w:val="da-DK"/>
        </w:rPr>
      </w:pPr>
      <w:r w:rsidRPr="00AE5B2E">
        <w:rPr>
          <w:rFonts w:ascii="Arial" w:hAnsi="Arial" w:cs="Arial"/>
          <w:color w:val="000000"/>
          <w:sz w:val="22"/>
          <w:szCs w:val="22"/>
          <w:lang w:val="da-DK"/>
        </w:rPr>
        <w:t>En whistleblowerordning skal overholde en række krav og procedurer, herunder:</w:t>
      </w:r>
    </w:p>
    <w:p w14:paraId="6CC213BD" w14:textId="77777777" w:rsidR="00AE5B2E" w:rsidRPr="00AE5B2E" w:rsidRDefault="00AE5B2E" w:rsidP="00AE5B2E">
      <w:pPr>
        <w:pStyle w:val="ListParagraph"/>
        <w:numPr>
          <w:ilvl w:val="0"/>
          <w:numId w:val="9"/>
        </w:numPr>
        <w:spacing w:line="360" w:lineRule="auto"/>
        <w:jc w:val="both"/>
        <w:rPr>
          <w:rFonts w:ascii="Arial" w:hAnsi="Arial" w:cs="Arial"/>
          <w:color w:val="000000"/>
          <w:sz w:val="22"/>
          <w:szCs w:val="22"/>
          <w:lang w:val="da-DK"/>
        </w:rPr>
      </w:pPr>
      <w:r w:rsidRPr="00AE5B2E">
        <w:rPr>
          <w:rFonts w:ascii="Arial" w:hAnsi="Arial" w:cs="Arial"/>
          <w:color w:val="000000"/>
          <w:sz w:val="22"/>
          <w:szCs w:val="22"/>
          <w:lang w:val="da-DK"/>
        </w:rPr>
        <w:t>Ordningen skal udformes, etableres og drives på en måde, der sikrer fortrolighed og forhindrer uautoriseret adgang. Whistleblowerens identitet og andre oplysninger, må normalt ikke videregives uden whistleblowerens samtykke,</w:t>
      </w:r>
    </w:p>
    <w:p w14:paraId="6C7C3943" w14:textId="77777777" w:rsidR="00AE5B2E" w:rsidRPr="00AE5B2E" w:rsidRDefault="00AE5B2E" w:rsidP="00AE5B2E">
      <w:pPr>
        <w:pStyle w:val="ListParagraph"/>
        <w:numPr>
          <w:ilvl w:val="0"/>
          <w:numId w:val="9"/>
        </w:numPr>
        <w:spacing w:line="360" w:lineRule="auto"/>
        <w:jc w:val="both"/>
        <w:rPr>
          <w:rFonts w:ascii="Arial" w:hAnsi="Arial" w:cs="Arial"/>
          <w:color w:val="000000"/>
          <w:sz w:val="22"/>
          <w:szCs w:val="22"/>
          <w:lang w:val="da-DK"/>
        </w:rPr>
      </w:pPr>
      <w:r w:rsidRPr="00AE5B2E">
        <w:rPr>
          <w:rFonts w:ascii="Arial" w:hAnsi="Arial" w:cs="Arial"/>
          <w:color w:val="000000"/>
          <w:sz w:val="22"/>
          <w:szCs w:val="22"/>
          <w:lang w:val="da-DK"/>
        </w:rPr>
        <w:t>whistlebloweren skal modtage en bekræftelse på modtagelse af indberetningen inden for syv dage efter modtagelsen heraf,</w:t>
      </w:r>
    </w:p>
    <w:p w14:paraId="74ADA610" w14:textId="77777777" w:rsidR="00AE5B2E" w:rsidRPr="00AE5B2E" w:rsidRDefault="00AE5B2E" w:rsidP="00AE5B2E">
      <w:pPr>
        <w:pStyle w:val="ListParagraph"/>
        <w:numPr>
          <w:ilvl w:val="0"/>
          <w:numId w:val="9"/>
        </w:numPr>
        <w:spacing w:line="360" w:lineRule="auto"/>
        <w:jc w:val="both"/>
        <w:rPr>
          <w:rFonts w:ascii="Arial" w:hAnsi="Arial" w:cs="Arial"/>
          <w:color w:val="000000"/>
          <w:sz w:val="22"/>
          <w:szCs w:val="22"/>
          <w:lang w:val="da-DK"/>
        </w:rPr>
      </w:pPr>
      <w:r w:rsidRPr="00AE5B2E">
        <w:rPr>
          <w:rFonts w:ascii="Arial" w:hAnsi="Arial" w:cs="Arial"/>
          <w:color w:val="000000"/>
          <w:sz w:val="22"/>
          <w:szCs w:val="22"/>
          <w:lang w:val="da-DK"/>
        </w:rPr>
        <w:t>virksomheden er forpligtet til at følge omhyggeligt op på indberetninger,</w:t>
      </w:r>
    </w:p>
    <w:p w14:paraId="44C8B537" w14:textId="77777777" w:rsidR="00AE5B2E" w:rsidRPr="00AE5B2E" w:rsidRDefault="00AE5B2E" w:rsidP="00AE5B2E">
      <w:pPr>
        <w:pStyle w:val="ListParagraph"/>
        <w:numPr>
          <w:ilvl w:val="0"/>
          <w:numId w:val="9"/>
        </w:numPr>
        <w:spacing w:line="360" w:lineRule="auto"/>
        <w:jc w:val="both"/>
        <w:rPr>
          <w:rFonts w:ascii="Arial" w:hAnsi="Arial" w:cs="Arial"/>
          <w:color w:val="000000"/>
          <w:sz w:val="22"/>
          <w:szCs w:val="22"/>
          <w:lang w:val="da-DK"/>
        </w:rPr>
      </w:pPr>
      <w:r w:rsidRPr="00AE5B2E">
        <w:rPr>
          <w:rFonts w:ascii="Arial" w:hAnsi="Arial" w:cs="Arial"/>
          <w:color w:val="000000"/>
          <w:sz w:val="22"/>
          <w:szCs w:val="22"/>
          <w:lang w:val="da-DK"/>
        </w:rPr>
        <w:t>whistlebloweren skal modtage feedback hurtigst muligt og ikke senere end tre måneder fra bekræftelsen af modtagelsen, og</w:t>
      </w:r>
    </w:p>
    <w:p w14:paraId="62DCCD21" w14:textId="77777777" w:rsidR="00AE5B2E" w:rsidRPr="00AE5B2E" w:rsidRDefault="00AE5B2E" w:rsidP="00AE5B2E">
      <w:pPr>
        <w:pStyle w:val="ListParagraph"/>
        <w:numPr>
          <w:ilvl w:val="0"/>
          <w:numId w:val="9"/>
        </w:numPr>
        <w:spacing w:line="360" w:lineRule="auto"/>
        <w:jc w:val="both"/>
        <w:rPr>
          <w:rFonts w:ascii="Arial" w:hAnsi="Arial" w:cs="Arial"/>
          <w:color w:val="000000"/>
          <w:sz w:val="22"/>
          <w:szCs w:val="22"/>
          <w:lang w:val="da-DK"/>
        </w:rPr>
      </w:pPr>
      <w:r w:rsidRPr="00AE5B2E">
        <w:rPr>
          <w:rFonts w:ascii="Arial" w:hAnsi="Arial" w:cs="Arial"/>
          <w:color w:val="000000"/>
          <w:sz w:val="22"/>
          <w:szCs w:val="22"/>
          <w:lang w:val="da-DK"/>
        </w:rPr>
        <w:t>virksomheden skal yde vejledning til potentielle whistleblowere om mulighederne for at foretage indberetninger til ordningen samt indberetning til den eksterne whistleblowerordning.</w:t>
      </w:r>
    </w:p>
    <w:p w14:paraId="4BB65623" w14:textId="77777777" w:rsidR="00AE5B2E" w:rsidRPr="00AE5B2E" w:rsidRDefault="00AE5B2E" w:rsidP="00AE5B2E">
      <w:pPr>
        <w:spacing w:line="360" w:lineRule="auto"/>
        <w:jc w:val="both"/>
        <w:rPr>
          <w:rFonts w:ascii="Arial" w:hAnsi="Arial" w:cs="Arial"/>
          <w:b/>
          <w:bCs/>
          <w:color w:val="000000" w:themeColor="text1"/>
          <w:sz w:val="22"/>
          <w:szCs w:val="22"/>
          <w:lang w:val="da-DK"/>
        </w:rPr>
      </w:pPr>
    </w:p>
    <w:p w14:paraId="2D134CD1" w14:textId="77777777" w:rsidR="00AE5B2E" w:rsidRPr="00AE5B2E" w:rsidRDefault="00AE5B2E" w:rsidP="00AE5B2E">
      <w:pPr>
        <w:spacing w:line="360" w:lineRule="auto"/>
        <w:jc w:val="both"/>
        <w:rPr>
          <w:rFonts w:ascii="Arial" w:hAnsi="Arial" w:cs="Arial"/>
          <w:b/>
          <w:bCs/>
          <w:color w:val="000000" w:themeColor="text1"/>
          <w:sz w:val="22"/>
          <w:szCs w:val="22"/>
          <w:lang w:val="da-DK"/>
        </w:rPr>
      </w:pPr>
      <w:r w:rsidRPr="00AE5B2E">
        <w:rPr>
          <w:rFonts w:ascii="Arial" w:hAnsi="Arial" w:cs="Arial"/>
          <w:b/>
          <w:bCs/>
          <w:color w:val="000000" w:themeColor="text1"/>
          <w:sz w:val="22"/>
          <w:szCs w:val="22"/>
          <w:lang w:val="da-DK"/>
        </w:rPr>
        <w:t>Hjælp til at håndtere whistleblower-indberetninger</w:t>
      </w:r>
    </w:p>
    <w:p w14:paraId="5876A812" w14:textId="50EDE1E8" w:rsidR="00AE5B2E" w:rsidRPr="00AE5B2E" w:rsidRDefault="00AE5B2E" w:rsidP="00AE5B2E">
      <w:pPr>
        <w:spacing w:line="360" w:lineRule="auto"/>
        <w:jc w:val="both"/>
        <w:rPr>
          <w:rFonts w:ascii="Arial" w:hAnsi="Arial" w:cs="Arial"/>
          <w:color w:val="000000" w:themeColor="text1"/>
          <w:sz w:val="22"/>
          <w:szCs w:val="22"/>
          <w:lang w:val="da-DK"/>
        </w:rPr>
      </w:pPr>
      <w:r w:rsidRPr="00AE5B2E">
        <w:rPr>
          <w:rFonts w:ascii="Arial" w:hAnsi="Arial" w:cs="Arial"/>
          <w:color w:val="000000" w:themeColor="text1"/>
          <w:sz w:val="22"/>
          <w:szCs w:val="22"/>
          <w:lang w:val="da-DK"/>
        </w:rPr>
        <w:t>Whistle</w:t>
      </w:r>
      <w:r w:rsidRPr="00AE5B2E">
        <w:rPr>
          <w:rFonts w:ascii="Arial" w:hAnsi="Arial" w:cs="Arial"/>
          <w:color w:val="000000" w:themeColor="text1"/>
          <w:sz w:val="22"/>
          <w:szCs w:val="22"/>
          <w:lang w:val="da-DK"/>
        </w:rPr>
        <w:t>blower Partners</w:t>
      </w:r>
      <w:r w:rsidRPr="00AE5B2E">
        <w:rPr>
          <w:rFonts w:ascii="Arial" w:hAnsi="Arial" w:cs="Arial"/>
          <w:color w:val="000000" w:themeColor="text1"/>
          <w:sz w:val="22"/>
          <w:szCs w:val="22"/>
          <w:lang w:val="da-DK"/>
        </w:rPr>
        <w:t xml:space="preserve"> tilbyder screeningsmodulet </w:t>
      </w:r>
      <w:r w:rsidRPr="00AE5B2E">
        <w:rPr>
          <w:rFonts w:ascii="Arial" w:hAnsi="Arial" w:cs="Arial"/>
          <w:color w:val="000000" w:themeColor="text1"/>
          <w:sz w:val="22"/>
          <w:szCs w:val="22"/>
          <w:lang w:val="da-DK"/>
        </w:rPr>
        <w:t xml:space="preserve">Whistleblower Partners </w:t>
      </w:r>
      <w:r w:rsidRPr="00AE5B2E">
        <w:rPr>
          <w:rFonts w:ascii="Arial" w:hAnsi="Arial" w:cs="Arial"/>
          <w:color w:val="000000" w:themeColor="text1"/>
          <w:sz w:val="22"/>
          <w:szCs w:val="22"/>
          <w:lang w:val="da-DK"/>
        </w:rPr>
        <w:t>Screening Service, hvor jurister gennemgår de enkelte indberetninger og rapporterer tilbage til virksomheden.</w:t>
      </w:r>
    </w:p>
    <w:p w14:paraId="5B1A9294" w14:textId="77777777" w:rsidR="00AE5B2E" w:rsidRPr="00AE5B2E" w:rsidRDefault="00AE5B2E" w:rsidP="00AE5B2E">
      <w:pPr>
        <w:spacing w:line="360" w:lineRule="auto"/>
        <w:jc w:val="both"/>
        <w:rPr>
          <w:rFonts w:ascii="Arial" w:hAnsi="Arial" w:cs="Arial"/>
          <w:color w:val="000000" w:themeColor="text1"/>
          <w:sz w:val="22"/>
          <w:szCs w:val="22"/>
          <w:lang w:val="da-DK"/>
        </w:rPr>
      </w:pPr>
    </w:p>
    <w:p w14:paraId="48524E15" w14:textId="1F45DD1F" w:rsidR="00B12101" w:rsidRPr="00AE5B2E" w:rsidRDefault="00AE5B2E" w:rsidP="00AE5B2E">
      <w:pPr>
        <w:spacing w:line="360" w:lineRule="auto"/>
        <w:jc w:val="both"/>
        <w:rPr>
          <w:rFonts w:ascii="Arial" w:hAnsi="Arial" w:cs="Arial"/>
          <w:sz w:val="22"/>
          <w:szCs w:val="22"/>
          <w:lang w:val="da-DK"/>
        </w:rPr>
      </w:pPr>
      <w:r w:rsidRPr="00AE5B2E">
        <w:rPr>
          <w:rFonts w:ascii="Arial" w:hAnsi="Arial" w:cs="Arial"/>
          <w:color w:val="000000"/>
          <w:sz w:val="22"/>
          <w:szCs w:val="22"/>
          <w:lang w:val="da-DK"/>
        </w:rPr>
        <w:t xml:space="preserve">Vi har betydelig erfaring med etablering og drift af whistleblowerordninger for både danske virksomheder og internationale koncerner, og er modtagere af indberetninger fra en række virksomheder. </w:t>
      </w:r>
    </w:p>
    <w:sectPr w:rsidR="00B12101" w:rsidRPr="00AE5B2E"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E1AB7" w14:textId="77777777" w:rsidR="00D14542" w:rsidRDefault="00D14542">
      <w:r>
        <w:separator/>
      </w:r>
    </w:p>
  </w:endnote>
  <w:endnote w:type="continuationSeparator" w:id="0">
    <w:p w14:paraId="79E67511" w14:textId="77777777" w:rsidR="00D14542" w:rsidRDefault="00D14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05A8" w14:textId="77777777" w:rsidR="00FD2EA0" w:rsidRPr="006621AA" w:rsidRDefault="00FD2EA0"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D3E4F" id="_x0000_t202" coordsize="21600,21600" o:spt="202" path="m,l,21600r21600,l21600,xe">
              <v:stroke joinstyle="miter"/>
              <v:path gradientshapeok="t" o:connecttype="rect"/>
            </v:shapetype>
            <v:shape id="Text Box 166" o:spid="_x0000_s1028"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DC7D2" id="_x0000_s1029" type="#_x0000_t202"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filled="f" stroked="f">
              <v:textbo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43955" id="Rectangle 33" o:spid="_x0000_s1026"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fillcolor="#1f497d [3215]" stroked="f" strokeweight="2pt"/>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E095E" w14:textId="77777777" w:rsidR="00D14542" w:rsidRDefault="00D14542">
      <w:r>
        <w:separator/>
      </w:r>
    </w:p>
  </w:footnote>
  <w:footnote w:type="continuationSeparator" w:id="0">
    <w:p w14:paraId="1855C0C0" w14:textId="77777777" w:rsidR="00D14542" w:rsidRDefault="00D145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BFF476A"/>
    <w:multiLevelType w:val="hybridMultilevel"/>
    <w:tmpl w:val="C5746FA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Times New Roman"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Times New Roman"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Times New Roman" w:hint="default"/>
      </w:rPr>
    </w:lvl>
    <w:lvl w:ilvl="8" w:tplc="04060005">
      <w:start w:val="1"/>
      <w:numFmt w:val="bullet"/>
      <w:lvlText w:val=""/>
      <w:lvlJc w:val="left"/>
      <w:pPr>
        <w:ind w:left="6480" w:hanging="360"/>
      </w:pPr>
      <w:rPr>
        <w:rFonts w:ascii="Wingdings" w:hAnsi="Wingdings" w:hint="default"/>
      </w:rPr>
    </w:lvl>
  </w:abstractNum>
  <w:abstractNum w:abstractNumId="3"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61478146">
    <w:abstractNumId w:val="0"/>
  </w:num>
  <w:num w:numId="2" w16cid:durableId="34896326">
    <w:abstractNumId w:val="6"/>
  </w:num>
  <w:num w:numId="3" w16cid:durableId="642582865">
    <w:abstractNumId w:val="8"/>
  </w:num>
  <w:num w:numId="4" w16cid:durableId="549221708">
    <w:abstractNumId w:val="4"/>
  </w:num>
  <w:num w:numId="5" w16cid:durableId="1850289761">
    <w:abstractNumId w:val="7"/>
  </w:num>
  <w:num w:numId="6" w16cid:durableId="838278969">
    <w:abstractNumId w:val="1"/>
  </w:num>
  <w:num w:numId="7" w16cid:durableId="913969872">
    <w:abstractNumId w:val="5"/>
  </w:num>
  <w:num w:numId="8" w16cid:durableId="492530580">
    <w:abstractNumId w:val="3"/>
  </w:num>
  <w:num w:numId="9" w16cid:durableId="44791861">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5275C"/>
    <w:rsid w:val="000571FA"/>
    <w:rsid w:val="000700BE"/>
    <w:rsid w:val="00086D56"/>
    <w:rsid w:val="00092409"/>
    <w:rsid w:val="000963EE"/>
    <w:rsid w:val="00096BDA"/>
    <w:rsid w:val="00097CA5"/>
    <w:rsid w:val="000A0B9C"/>
    <w:rsid w:val="000C6CA1"/>
    <w:rsid w:val="000C7B39"/>
    <w:rsid w:val="000E4127"/>
    <w:rsid w:val="0010514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75D1"/>
    <w:rsid w:val="002208D0"/>
    <w:rsid w:val="00220A22"/>
    <w:rsid w:val="002238EA"/>
    <w:rsid w:val="00251B35"/>
    <w:rsid w:val="00251FCD"/>
    <w:rsid w:val="00253233"/>
    <w:rsid w:val="00261796"/>
    <w:rsid w:val="00277ADB"/>
    <w:rsid w:val="002824AE"/>
    <w:rsid w:val="00284CD0"/>
    <w:rsid w:val="00290938"/>
    <w:rsid w:val="002B4007"/>
    <w:rsid w:val="002C7FAA"/>
    <w:rsid w:val="002D2E2F"/>
    <w:rsid w:val="00321111"/>
    <w:rsid w:val="0038057F"/>
    <w:rsid w:val="00386F89"/>
    <w:rsid w:val="00395555"/>
    <w:rsid w:val="003A78C1"/>
    <w:rsid w:val="003A7A03"/>
    <w:rsid w:val="003B06ED"/>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455"/>
    <w:rsid w:val="00497BED"/>
    <w:rsid w:val="004A61C2"/>
    <w:rsid w:val="004A73BF"/>
    <w:rsid w:val="004B5F1D"/>
    <w:rsid w:val="004D6D17"/>
    <w:rsid w:val="004E18FD"/>
    <w:rsid w:val="004F35D5"/>
    <w:rsid w:val="004F6FD5"/>
    <w:rsid w:val="005245F8"/>
    <w:rsid w:val="005372FC"/>
    <w:rsid w:val="005521D8"/>
    <w:rsid w:val="0056063E"/>
    <w:rsid w:val="005659D2"/>
    <w:rsid w:val="00580A29"/>
    <w:rsid w:val="00592170"/>
    <w:rsid w:val="005B397D"/>
    <w:rsid w:val="005D255B"/>
    <w:rsid w:val="005D4644"/>
    <w:rsid w:val="005D5995"/>
    <w:rsid w:val="005E3BF5"/>
    <w:rsid w:val="005F5AE4"/>
    <w:rsid w:val="006001D2"/>
    <w:rsid w:val="00612F56"/>
    <w:rsid w:val="00613870"/>
    <w:rsid w:val="00613D04"/>
    <w:rsid w:val="00620AD1"/>
    <w:rsid w:val="006226CE"/>
    <w:rsid w:val="00622FDF"/>
    <w:rsid w:val="006526C7"/>
    <w:rsid w:val="00652C74"/>
    <w:rsid w:val="0065314E"/>
    <w:rsid w:val="006621AA"/>
    <w:rsid w:val="00664743"/>
    <w:rsid w:val="0066658E"/>
    <w:rsid w:val="006877B6"/>
    <w:rsid w:val="006B053E"/>
    <w:rsid w:val="006C7324"/>
    <w:rsid w:val="006D1AD3"/>
    <w:rsid w:val="006D3317"/>
    <w:rsid w:val="006D7D65"/>
    <w:rsid w:val="0071799F"/>
    <w:rsid w:val="00734513"/>
    <w:rsid w:val="00751400"/>
    <w:rsid w:val="00771302"/>
    <w:rsid w:val="00785EF6"/>
    <w:rsid w:val="00786C53"/>
    <w:rsid w:val="007A1ED6"/>
    <w:rsid w:val="007B53B8"/>
    <w:rsid w:val="007B7D0C"/>
    <w:rsid w:val="007C61A8"/>
    <w:rsid w:val="007D1DB6"/>
    <w:rsid w:val="007D5AC1"/>
    <w:rsid w:val="007D69E5"/>
    <w:rsid w:val="00815DCC"/>
    <w:rsid w:val="00827355"/>
    <w:rsid w:val="00832378"/>
    <w:rsid w:val="00850708"/>
    <w:rsid w:val="00861F16"/>
    <w:rsid w:val="008946D5"/>
    <w:rsid w:val="008A29F7"/>
    <w:rsid w:val="008D5AE9"/>
    <w:rsid w:val="008F3B12"/>
    <w:rsid w:val="009065E7"/>
    <w:rsid w:val="00911927"/>
    <w:rsid w:val="00916CC1"/>
    <w:rsid w:val="00951419"/>
    <w:rsid w:val="00957114"/>
    <w:rsid w:val="00971CA2"/>
    <w:rsid w:val="0097289A"/>
    <w:rsid w:val="00983AE3"/>
    <w:rsid w:val="009921A0"/>
    <w:rsid w:val="00997174"/>
    <w:rsid w:val="009A0EA9"/>
    <w:rsid w:val="009D3274"/>
    <w:rsid w:val="009F1CD1"/>
    <w:rsid w:val="009F2DC1"/>
    <w:rsid w:val="00A057F1"/>
    <w:rsid w:val="00A11143"/>
    <w:rsid w:val="00A123C9"/>
    <w:rsid w:val="00A31738"/>
    <w:rsid w:val="00A37E8F"/>
    <w:rsid w:val="00A61293"/>
    <w:rsid w:val="00A700D4"/>
    <w:rsid w:val="00A80198"/>
    <w:rsid w:val="00A826FE"/>
    <w:rsid w:val="00A87BD2"/>
    <w:rsid w:val="00A87CEC"/>
    <w:rsid w:val="00A92C90"/>
    <w:rsid w:val="00A93039"/>
    <w:rsid w:val="00AC4A45"/>
    <w:rsid w:val="00AD025F"/>
    <w:rsid w:val="00AE5B2E"/>
    <w:rsid w:val="00AF3BBF"/>
    <w:rsid w:val="00B11C41"/>
    <w:rsid w:val="00B1210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A237C"/>
    <w:rsid w:val="00BB5498"/>
    <w:rsid w:val="00BB7100"/>
    <w:rsid w:val="00BD6627"/>
    <w:rsid w:val="00BE34C5"/>
    <w:rsid w:val="00C25407"/>
    <w:rsid w:val="00C3734D"/>
    <w:rsid w:val="00C751CB"/>
    <w:rsid w:val="00C875D7"/>
    <w:rsid w:val="00C91E9E"/>
    <w:rsid w:val="00CA76BA"/>
    <w:rsid w:val="00CA7B07"/>
    <w:rsid w:val="00CB0577"/>
    <w:rsid w:val="00CB5F47"/>
    <w:rsid w:val="00CD15E6"/>
    <w:rsid w:val="00CE5C16"/>
    <w:rsid w:val="00CF1D59"/>
    <w:rsid w:val="00CF32F1"/>
    <w:rsid w:val="00CF6B3F"/>
    <w:rsid w:val="00D14542"/>
    <w:rsid w:val="00D278F8"/>
    <w:rsid w:val="00D3445C"/>
    <w:rsid w:val="00D348B0"/>
    <w:rsid w:val="00D51A5C"/>
    <w:rsid w:val="00D72677"/>
    <w:rsid w:val="00D743D1"/>
    <w:rsid w:val="00D824F3"/>
    <w:rsid w:val="00D83470"/>
    <w:rsid w:val="00DA082D"/>
    <w:rsid w:val="00DB4667"/>
    <w:rsid w:val="00DC216E"/>
    <w:rsid w:val="00DD04C0"/>
    <w:rsid w:val="00DD6337"/>
    <w:rsid w:val="00DE1645"/>
    <w:rsid w:val="00E0349E"/>
    <w:rsid w:val="00E053FE"/>
    <w:rsid w:val="00E05802"/>
    <w:rsid w:val="00E06F59"/>
    <w:rsid w:val="00E228D6"/>
    <w:rsid w:val="00E23733"/>
    <w:rsid w:val="00E41C09"/>
    <w:rsid w:val="00E502A9"/>
    <w:rsid w:val="00E50A29"/>
    <w:rsid w:val="00E55666"/>
    <w:rsid w:val="00E9456D"/>
    <w:rsid w:val="00EA64E4"/>
    <w:rsid w:val="00EB51BE"/>
    <w:rsid w:val="00ED3AF2"/>
    <w:rsid w:val="00EE6C78"/>
    <w:rsid w:val="00F02194"/>
    <w:rsid w:val="00F0441F"/>
    <w:rsid w:val="00F33635"/>
    <w:rsid w:val="00F360ED"/>
    <w:rsid w:val="00F406CE"/>
    <w:rsid w:val="00F56394"/>
    <w:rsid w:val="00F635DA"/>
    <w:rsid w:val="00F9296A"/>
    <w:rsid w:val="00FA42E4"/>
    <w:rsid w:val="00FB40E4"/>
    <w:rsid w:val="00FB435D"/>
    <w:rsid w:val="00FC6C37"/>
    <w:rsid w:val="00FD2EA0"/>
    <w:rsid w:val="00FD5515"/>
    <w:rsid w:val="00FD7487"/>
    <w:rsid w:val="00FE4526"/>
    <w:rsid w:val="00FE45F6"/>
    <w:rsid w:val="00FE5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 w:type="paragraph" w:styleId="NormalWeb">
    <w:name w:val="Normal (Web)"/>
    <w:basedOn w:val="Normal"/>
    <w:uiPriority w:val="99"/>
    <w:semiHidden/>
    <w:unhideWhenUsed/>
    <w:rsid w:val="00AE5B2E"/>
    <w:pPr>
      <w:spacing w:before="100" w:beforeAutospacing="1" w:after="100" w:afterAutospacing="1"/>
    </w:pPr>
    <w:rPr>
      <w:rFonts w:eastAsia="Times New Roman"/>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1277446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7" ma:contentTypeDescription="Create a new document." ma:contentTypeScope="" ma:versionID="659b32280166401c762f9de5e282868c">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5d1320d1e2f3e19a821a54056411660e"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72EC4E8-7B29-4A03-98AD-6872FEACCC28}"/>
</file>

<file path=customXml/itemProps2.xml><?xml version="1.0" encoding="utf-8"?>
<ds:datastoreItem xmlns:ds="http://schemas.openxmlformats.org/officeDocument/2006/customXml" ds:itemID="{D6B8E486-ADD7-4555-AA17-E0C51BA1362B}">
  <ds:schemaRefs>
    <ds:schemaRef ds:uri="http://schemas.microsoft.com/sharepoint/v3/contenttype/forms"/>
  </ds:schemaRefs>
</ds:datastoreItem>
</file>

<file path=customXml/itemProps3.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4.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docProps/app.xml><?xml version="1.0" encoding="utf-8"?>
<Properties xmlns="http://schemas.openxmlformats.org/officeDocument/2006/extended-properties" xmlns:vt="http://schemas.openxmlformats.org/officeDocument/2006/docPropsVTypes">
  <Template>template-word</Template>
  <TotalTime>1</TotalTime>
  <Pages>1</Pages>
  <Words>716</Words>
  <Characters>4374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Gaia Masoli</cp:lastModifiedBy>
  <cp:revision>2</cp:revision>
  <cp:lastPrinted>2013-10-25T13:55:00Z</cp:lastPrinted>
  <dcterms:created xsi:type="dcterms:W3CDTF">2023-01-12T11:47:00Z</dcterms:created>
  <dcterms:modified xsi:type="dcterms:W3CDTF">2023-01-12T11:47:00Z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